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b/>
          <w:sz w:val="28"/>
        </w:rPr>
      </w:pPr>
      <w:r>
        <w:rPr>
          <w:rFonts w:ascii="宋体" w:hAnsi="宋体" w:eastAsia="宋体" w:cs="Times New Roman"/>
          <w:b/>
          <w:kern w:val="2"/>
          <w:sz w:val="28"/>
          <w:szCs w:val="24"/>
          <w:lang w:val="en-US" w:eastAsia="zh-CN" w:bidi="ar-SA"/>
        </w:rPr>
        <w:pict>
          <v:rect id="Text Box 3" o:spid="_x0000_s1030" o:spt="1" style="position:absolute;left:0pt;margin-left:248.85pt;margin-top:1.5pt;height:83.6pt;width:209.25pt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/>
              </w:txbxContent>
            </v:textbox>
          </v:rect>
        </w:pict>
      </w:r>
    </w:p>
    <w:p>
      <w:pPr>
        <w:spacing w:line="400" w:lineRule="atLeast"/>
        <w:jc w:val="center"/>
        <w:rPr>
          <w:rFonts w:ascii="宋体" w:hAnsi="宋体"/>
          <w:b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sz w:val="28"/>
        </w:rPr>
      </w:pPr>
    </w:p>
    <w:p>
      <w:pPr>
        <w:spacing w:line="400" w:lineRule="atLeast"/>
        <w:jc w:val="center"/>
        <w:rPr>
          <w:rFonts w:ascii="宋体" w:hAnsi="宋体"/>
          <w:b/>
          <w:sz w:val="28"/>
        </w:rPr>
      </w:pPr>
    </w:p>
    <w:p>
      <w:pPr>
        <w:spacing w:line="400" w:lineRule="atLeast"/>
        <w:jc w:val="center"/>
        <w:rPr>
          <w:rFonts w:ascii="MS Mincho" w:hAnsi="MS Mincho" w:eastAsia="GB P Mincho"/>
          <w:b/>
          <w:color w:val="000000"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物</w:t>
      </w:r>
    </w:p>
    <w:p>
      <w:pPr>
        <w:spacing w:line="400" w:lineRule="atLeast"/>
        <w:jc w:val="center"/>
        <w:rPr>
          <w:rFonts w:ascii="MS Mincho" w:hAnsi="MS Mincho" w:eastAsia="GB P Mincho"/>
          <w:b/>
          <w:color w:val="000000"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资</w:t>
      </w:r>
    </w:p>
    <w:p>
      <w:pPr>
        <w:spacing w:line="400" w:lineRule="atLeast"/>
        <w:jc w:val="center"/>
        <w:rPr>
          <w:rFonts w:ascii="MS Mincho" w:hAnsi="MS Mincho" w:eastAsia="GB P Mincho"/>
          <w:b/>
          <w:color w:val="000000"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管</w:t>
      </w:r>
    </w:p>
    <w:p>
      <w:pPr>
        <w:spacing w:line="400" w:lineRule="atLeast"/>
        <w:jc w:val="center"/>
        <w:rPr>
          <w:rFonts w:ascii="MS Mincho" w:hAnsi="MS Mincho" w:eastAsia="GB P Mincho"/>
          <w:b/>
          <w:color w:val="000000"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理</w:t>
      </w:r>
    </w:p>
    <w:p>
      <w:pPr>
        <w:spacing w:line="400" w:lineRule="atLeast"/>
        <w:jc w:val="center"/>
        <w:rPr>
          <w:rFonts w:ascii="MS Mincho" w:hAnsi="MS Mincho" w:eastAsia="GB P Mincho"/>
          <w:b/>
          <w:color w:val="000000"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制</w:t>
      </w:r>
    </w:p>
    <w:p>
      <w:pPr>
        <w:spacing w:line="400" w:lineRule="atLeast"/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MS Mincho" w:hAnsi="MS Mincho" w:eastAsia="GB P Mincho"/>
          <w:b/>
          <w:color w:val="000000"/>
          <w:sz w:val="84"/>
          <w:szCs w:val="84"/>
        </w:rPr>
        <w:t>度</w:t>
      </w:r>
    </w:p>
    <w:p>
      <w:pPr>
        <w:spacing w:line="400" w:lineRule="atLeast"/>
        <w:jc w:val="center"/>
        <w:rPr>
          <w:rFonts w:ascii="宋体" w:hAnsi="宋体"/>
          <w:b/>
          <w:sz w:val="84"/>
          <w:szCs w:val="84"/>
        </w:rPr>
      </w:pPr>
    </w:p>
    <w:p>
      <w:pPr>
        <w:spacing w:line="400" w:lineRule="atLeast"/>
        <w:jc w:val="center"/>
        <w:rPr>
          <w:rFonts w:ascii="宋体" w:hAnsi="宋体"/>
          <w:b/>
          <w:sz w:val="84"/>
          <w:szCs w:val="84"/>
        </w:rPr>
      </w:pPr>
    </w:p>
    <w:p>
      <w:pPr>
        <w:ind w:left="525" w:hanging="525" w:hangingChars="250"/>
        <w:rPr>
          <w:rFonts w:hint="eastAsia"/>
        </w:rPr>
      </w:pPr>
    </w:p>
    <w:p>
      <w:pPr>
        <w:ind w:left="525" w:hanging="525" w:hangingChars="250"/>
        <w:rPr>
          <w:rFonts w:hint="eastAsia"/>
        </w:rPr>
      </w:pPr>
    </w:p>
    <w:p>
      <w:pPr>
        <w:ind w:left="525" w:hanging="525" w:hangingChars="250"/>
        <w:rPr>
          <w:rFonts w:hint="eastAsia"/>
        </w:rPr>
      </w:pPr>
    </w:p>
    <w:p>
      <w:pPr>
        <w:numPr>
          <w:ilvl w:val="0"/>
          <w:numId w:val="1"/>
        </w:numPr>
        <w:spacing w:line="460" w:lineRule="exact"/>
        <w:jc w:val="center"/>
        <w:rPr>
          <w:rFonts w:ascii="华文楷体" w:hAnsi="华文楷体" w:eastAsia="华文楷体" w:cs="华文楷体"/>
          <w:b/>
          <w:sz w:val="24"/>
          <w:szCs w:val="21"/>
        </w:rPr>
      </w:pPr>
      <w:r>
        <w:rPr>
          <w:rFonts w:hint="eastAsia" w:ascii="华文楷体" w:hAnsi="华文楷体" w:eastAsia="华文楷体" w:cs="华文楷体"/>
          <w:b/>
          <w:sz w:val="24"/>
          <w:szCs w:val="21"/>
        </w:rPr>
        <w:t>目的</w:t>
      </w:r>
    </w:p>
    <w:p>
      <w:pPr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 xml:space="preserve">    </w:t>
      </w:r>
      <w:r>
        <w:rPr>
          <w:rFonts w:hint="eastAsia" w:ascii="仿宋" w:hAnsi="仿宋" w:eastAsia="仿宋" w:cs="仿宋"/>
          <w:szCs w:val="21"/>
        </w:rPr>
        <w:t>第一条   为加强机构物资购买、管理、和使用；弘扬民族精神,爱惜公共财产,杜绝浪费；坚持物资资源使用效益最大化、物尽其用。</w:t>
      </w:r>
    </w:p>
    <w:p>
      <w:pPr>
        <w:numPr>
          <w:ilvl w:val="0"/>
          <w:numId w:val="1"/>
        </w:numPr>
        <w:spacing w:line="460" w:lineRule="exact"/>
        <w:jc w:val="center"/>
        <w:rPr>
          <w:rFonts w:hint="eastAsia"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</w:rPr>
        <w:t>物资（品）购买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第二条   物资（品）实行计划购买、定额供应；任何物资（品）购买，必须由用物单位或部门填写购物申请表（附件16-1），由部门主管同意、总干事批准、总务安排统一购买；在购买过程中需遵循“货比三家”的原则。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第三条   凡购买的物资（品）一律严格履行入库或验货签收手续。凡未办理入库或验货签收手续的，不能发放使用，相关费用及票据不予报销。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第四条   购买的固定资产，用物部门负责人进行签领后需登记在固定资产表内；购物发票需由经办人、部门主管签名及总干事审批方可送财务室报销。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第五条   日常办公、教学使用的易耗物资（品）购买后由部门仓管员验货入库，并做好仓库物资（品）一式两份的入库清单（附件16-2），确认物资（品）验货并入库；购物发票与购物清单需由经办人、仓管员、部门主管签名及总干事审批方可送财务室报销 </w:t>
      </w:r>
    </w:p>
    <w:p>
      <w:pPr>
        <w:pStyle w:val="12"/>
        <w:spacing w:line="460" w:lineRule="exact"/>
        <w:ind w:firstLine="0" w:firstLineChars="0"/>
        <w:jc w:val="center"/>
        <w:rPr>
          <w:rFonts w:hint="eastAsia"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</w:rPr>
        <w:t>第三章   仓库管理</w:t>
      </w:r>
    </w:p>
    <w:p>
      <w:pPr>
        <w:pStyle w:val="12"/>
        <w:spacing w:line="460" w:lineRule="exact"/>
        <w:ind w:firstLine="525" w:firstLineChars="2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第六条   仓库管理应把好质量关，对数量不符、质量低劣的物资（品），应拒绝验收入库。</w:t>
      </w:r>
    </w:p>
    <w:p>
      <w:pPr>
        <w:pStyle w:val="12"/>
        <w:spacing w:line="460" w:lineRule="exact"/>
        <w:ind w:firstLine="525" w:firstLineChars="2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第七条   建立物资（品）入库、出库明细账，了解仓库库存物资（品），避免库存物资（品）过期。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第八条   物资（品）仓储明晰有条理，随时能将库存物资（品）提供给部门主管，避免物资（品）重复购买和过期浪费。</w:t>
      </w:r>
    </w:p>
    <w:p>
      <w:pPr>
        <w:pStyle w:val="12"/>
        <w:spacing w:line="460" w:lineRule="exact"/>
        <w:ind w:firstLine="525" w:firstLineChars="2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第九条   分部门或班级建立物资（品）签领档案，用于物资（品）去向查询。</w:t>
      </w:r>
    </w:p>
    <w:p>
      <w:pPr>
        <w:pStyle w:val="12"/>
        <w:spacing w:line="460" w:lineRule="exact"/>
        <w:ind w:firstLine="525" w:firstLineChars="2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第十条   仓管除按常规发放的低值易耗品物资（品）外，未经主管领导批准的任何物资（品）不得随意发放。</w:t>
      </w:r>
    </w:p>
    <w:p>
      <w:pPr>
        <w:pStyle w:val="12"/>
        <w:spacing w:line="460" w:lineRule="exact"/>
        <w:ind w:firstLine="0" w:firstLineChars="0"/>
        <w:jc w:val="center"/>
        <w:rPr>
          <w:rFonts w:hint="eastAsia"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</w:rPr>
        <w:t>第四章  固定资产的使用与管理</w:t>
      </w:r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第十一条   固定资产由总务员或仓管员办理入库登记手续后，用物部门方可签领使用。</w:t>
      </w:r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第十二条   使用人要落实保护措施，使用好、管理好、维护好，不得损坏、流失，要严格执行“谁损坏谁丢失，谁赔偿”的原则。</w:t>
      </w:r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第十三条   使用人要妥善保管各资产，不准私自外借、转移和调整。部门总务员要经常进行检查，维护所管资产，安排恒常的维修工作，确保资产不受损失。</w:t>
      </w:r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第十四条   使用人在调出单位前，应将使用和借用机构的一切物品如数交还机构，到部门总务处办理固定资产交接手续。凡不履行交接手续的，不予办理离职相关手续。</w:t>
      </w:r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第十五条   总务员或仓管员调动工作、退休时需由移交人、接管人、监交人三方认真办理资产交接手续。</w:t>
      </w:r>
      <w:bookmarkStart w:id="0" w:name="_GoBack"/>
      <w:bookmarkEnd w:id="0"/>
    </w:p>
    <w:p>
      <w:pPr>
        <w:pStyle w:val="12"/>
        <w:spacing w:line="460" w:lineRule="exact"/>
        <w:ind w:firstLine="315" w:firstLineChars="1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第十六条   物资（品）报废需填写物资（品）报废单（附件16-3），并由维修技术员确认可报废方可做报废处理。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第十七条   除正常报废、报损物品外，由于责任事故造成的固定资产损失，由责任人按当前市价赔偿。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第十八条   由于故意破坏而造成的公物损坏，视情节加倍赔偿；数额较大、情节恶劣的，交有关部门处理。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第十九条   各班组、活动组公共财物，一经集体配置交付各班组、活动组使用后，各班组、及活动组要加强对学员的思想教育，教育学员以机构为家，爱护公物，保管和使用好班组、活动组公共财物，对因管理失职或人为破坏造成的损失，照价赔偿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第二十条   生活辅导员、家庭辅导员有对宿舍、家庭内外公共设施及学员纪律、安全管理检查责任。教育学员要遵守宿舍、家庭管理规定，爱护公物。学员宿舍公物因管理不善失职造成损失的，追究当事人责任，人为破坏造成损失的，照价赔偿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第二十一条   每年年底，总务员或仓管员需对机构所有的公物使用与管理情况进行全面检查/盘点(附件16-4)。</w:t>
      </w:r>
    </w:p>
    <w:p>
      <w:pPr>
        <w:pStyle w:val="12"/>
        <w:spacing w:line="460" w:lineRule="exact"/>
        <w:ind w:firstLine="241" w:firstLineChars="100"/>
        <w:jc w:val="center"/>
        <w:rPr>
          <w:rFonts w:hint="eastAsia"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</w:rPr>
        <w:t>第五章   公物检查与维护维修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第二十二条   各部门定期组织本部门资产设备的检查，发现问题马上进行维护和维修；设有专职维修工的机构由相关物品保管责任人填写维修申请表（附件16-5）给维修员，维修员应尽快安排维修。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第二十三条   总务员要经常对所辖固定资产使用与管理状况进行检查，定期向主管上报固定资产的使用与管理情况。</w:t>
      </w:r>
    </w:p>
    <w:p>
      <w:pPr>
        <w:pStyle w:val="12"/>
        <w:spacing w:line="4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第二十四条   各部门及各班组建立物品正常使用破损报废登记记录，及时做好固定资产变更登记。</w:t>
      </w:r>
    </w:p>
    <w:p>
      <w:pPr>
        <w:pStyle w:val="12"/>
        <w:spacing w:line="460" w:lineRule="exact"/>
        <w:ind w:firstLine="0" w:firstLineChars="0"/>
        <w:jc w:val="center"/>
        <w:rPr>
          <w:rFonts w:hint="eastAsia" w:ascii="仿宋" w:hAnsi="仿宋" w:eastAsia="仿宋" w:cs="仿宋"/>
          <w:b/>
          <w:sz w:val="24"/>
          <w:szCs w:val="21"/>
        </w:rPr>
      </w:pPr>
      <w:r>
        <w:rPr>
          <w:rFonts w:hint="eastAsia" w:ascii="仿宋" w:hAnsi="仿宋" w:eastAsia="仿宋" w:cs="仿宋"/>
          <w:b/>
          <w:sz w:val="24"/>
          <w:szCs w:val="21"/>
        </w:rPr>
        <w:t>第六章   其他</w:t>
      </w:r>
    </w:p>
    <w:p>
      <w:pPr>
        <w:pStyle w:val="12"/>
        <w:spacing w:line="460" w:lineRule="exact"/>
        <w:ind w:firstLine="0" w:firstLineChars="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第二十五条   各部门及各活动组固定资产若因工作需要产生转移,需填写固定资产转移表(附件16-6).</w:t>
      </w:r>
    </w:p>
    <w:p>
      <w:pPr>
        <w:pStyle w:val="12"/>
        <w:spacing w:line="460" w:lineRule="exact"/>
        <w:ind w:firstLine="0" w:firstLineChars="0"/>
        <w:rPr>
          <w:rFonts w:ascii="华文楷体" w:hAnsi="华文楷体" w:eastAsia="华文楷体" w:cs="华文楷体"/>
          <w:szCs w:val="21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61" w:right="1474" w:bottom="1361" w:left="1474" w:header="567" w:footer="79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B P Minch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_x0000_s2050" o:spid="_x0000_s2050" o:spt="1" style="position:absolute;left:0pt;margin-left:445.55pt;margin-top:14.25pt;height:10.35pt;width:4.55pt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</w:rPr>
      <w:t>宗旨：推广社区化服务模式，提高智障人士生活品质</w:t>
    </w:r>
  </w:p>
  <w:p>
    <w:pPr>
      <w:pStyle w:val="5"/>
      <w:ind w:right="360"/>
    </w:pPr>
    <w:r>
      <w:rPr>
        <w:rFonts w:hint="eastAsia"/>
      </w:rPr>
      <w:t>远景：智障人士平等参与社区建设，共享社会文明成果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sz w:val="21"/>
        <w:szCs w:val="24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5" o:spid="_x0000_s2049" o:spt="1" style="position:absolute;left:0pt;margin-left:442.6pt;margin-top:18pt;height:10.35pt;width:4.55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</w:rPr>
      <w:t>宗旨：推广社区化服务模式，提高智障人士生活品质</w:t>
    </w:r>
  </w:p>
  <w:p>
    <w:pPr>
      <w:pStyle w:val="5"/>
    </w:pPr>
    <w:r>
      <w:rPr>
        <w:rFonts w:hint="eastAsia"/>
      </w:rPr>
      <w:t>远景：智障人士平等参与社区建设，共享社会文明成果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entury" w:hAnsi="Century" w:eastAsia="MS Mincho" w:cs="Times New Roman"/>
        <w:kern w:val="2"/>
        <w:sz w:val="21"/>
        <w:szCs w:val="24"/>
        <w:lang w:val="en-US" w:eastAsia="zh-CN" w:bidi="ar-SA"/>
      </w:rPr>
      <w:pict>
        <v:shape id="_x0000_i1026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Times New Roman"/>
        <w:kern w:val="2"/>
        <w:sz w:val="21"/>
        <w:szCs w:val="24"/>
        <w:lang w:val="en-US" w:eastAsia="zh-CN" w:bidi="ar-SA"/>
      </w:rPr>
      <w:t>成都慧灵社会工作服务中心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entury" w:hAnsi="Century" w:eastAsia="MS Mincho" w:cs="Times New Roman"/>
        <w:kern w:val="2"/>
        <w:sz w:val="21"/>
        <w:szCs w:val="24"/>
        <w:lang w:val="en-US" w:eastAsia="zh-CN" w:bidi="ar-SA"/>
      </w:rPr>
      <w:pict>
        <v:shape id="_x0000_i1025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Times New Roman"/>
        <w:kern w:val="2"/>
        <w:sz w:val="21"/>
        <w:szCs w:val="24"/>
        <w:lang w:val="en-US" w:eastAsia="zh-CN" w:bidi="ar-SA"/>
      </w:rPr>
      <w:t>成都</w:t>
    </w:r>
    <w:r>
      <w:rPr>
        <w:rFonts w:hint="eastAsia" w:cs="宋体"/>
        <w:kern w:val="0"/>
      </w:rPr>
      <w:t>慧灵智障人士服务机构</w:t>
    </w:r>
    <w:r>
      <w:rPr>
        <w:rFonts w:hint="eastAsia" w:ascii="华文楷体" w:hAnsi="华文楷体" w:eastAsia="华文楷体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D1DA9"/>
    <w:multiLevelType w:val="multilevel"/>
    <w:tmpl w:val="42AD1DA9"/>
    <w:lvl w:ilvl="0" w:tentative="0">
      <w:start w:val="1"/>
      <w:numFmt w:val="japaneseCounting"/>
      <w:lvlText w:val="第%1章"/>
      <w:lvlJc w:val="left"/>
      <w:pPr>
        <w:ind w:left="2387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7" w:hanging="420"/>
      </w:pPr>
    </w:lvl>
    <w:lvl w:ilvl="2" w:tentative="0">
      <w:start w:val="1"/>
      <w:numFmt w:val="lowerRoman"/>
      <w:lvlText w:val="%3."/>
      <w:lvlJc w:val="right"/>
      <w:pPr>
        <w:ind w:left="2207" w:hanging="420"/>
      </w:pPr>
    </w:lvl>
    <w:lvl w:ilvl="3" w:tentative="0">
      <w:start w:val="1"/>
      <w:numFmt w:val="decimal"/>
      <w:lvlText w:val="%4."/>
      <w:lvlJc w:val="left"/>
      <w:pPr>
        <w:ind w:left="2627" w:hanging="420"/>
      </w:pPr>
    </w:lvl>
    <w:lvl w:ilvl="4" w:tentative="0">
      <w:start w:val="1"/>
      <w:numFmt w:val="lowerLetter"/>
      <w:lvlText w:val="%5)"/>
      <w:lvlJc w:val="left"/>
      <w:pPr>
        <w:ind w:left="3047" w:hanging="420"/>
      </w:pPr>
    </w:lvl>
    <w:lvl w:ilvl="5" w:tentative="0">
      <w:start w:val="1"/>
      <w:numFmt w:val="lowerRoman"/>
      <w:lvlText w:val="%6."/>
      <w:lvlJc w:val="right"/>
      <w:pPr>
        <w:ind w:left="3467" w:hanging="420"/>
      </w:pPr>
    </w:lvl>
    <w:lvl w:ilvl="6" w:tentative="0">
      <w:start w:val="1"/>
      <w:numFmt w:val="decimal"/>
      <w:lvlText w:val="%7."/>
      <w:lvlJc w:val="left"/>
      <w:pPr>
        <w:ind w:left="3887" w:hanging="420"/>
      </w:pPr>
    </w:lvl>
    <w:lvl w:ilvl="7" w:tentative="0">
      <w:start w:val="1"/>
      <w:numFmt w:val="lowerLetter"/>
      <w:lvlText w:val="%8)"/>
      <w:lvlJc w:val="left"/>
      <w:pPr>
        <w:ind w:left="4307" w:hanging="420"/>
      </w:pPr>
    </w:lvl>
    <w:lvl w:ilvl="8" w:tentative="0">
      <w:start w:val="1"/>
      <w:numFmt w:val="lowerRoman"/>
      <w:lvlText w:val="%9."/>
      <w:lvlJc w:val="right"/>
      <w:pPr>
        <w:ind w:left="47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1A0"/>
    <w:rsid w:val="00033EA9"/>
    <w:rsid w:val="001449D1"/>
    <w:rsid w:val="00245B8A"/>
    <w:rsid w:val="0025338A"/>
    <w:rsid w:val="0026187D"/>
    <w:rsid w:val="002B3D3A"/>
    <w:rsid w:val="002F1296"/>
    <w:rsid w:val="00330CE8"/>
    <w:rsid w:val="00397B3F"/>
    <w:rsid w:val="003F678F"/>
    <w:rsid w:val="00454CD4"/>
    <w:rsid w:val="00481503"/>
    <w:rsid w:val="00491BEF"/>
    <w:rsid w:val="00502374"/>
    <w:rsid w:val="00546F4E"/>
    <w:rsid w:val="00563E30"/>
    <w:rsid w:val="005920A3"/>
    <w:rsid w:val="005D63A6"/>
    <w:rsid w:val="0061070F"/>
    <w:rsid w:val="006634F8"/>
    <w:rsid w:val="006E3892"/>
    <w:rsid w:val="007055C2"/>
    <w:rsid w:val="007374FA"/>
    <w:rsid w:val="00864563"/>
    <w:rsid w:val="008E659C"/>
    <w:rsid w:val="00912EA8"/>
    <w:rsid w:val="009173A5"/>
    <w:rsid w:val="009341A0"/>
    <w:rsid w:val="00977EBE"/>
    <w:rsid w:val="00A34BC9"/>
    <w:rsid w:val="00AE44D3"/>
    <w:rsid w:val="00B50428"/>
    <w:rsid w:val="00B772E3"/>
    <w:rsid w:val="00BC44A0"/>
    <w:rsid w:val="00BE413B"/>
    <w:rsid w:val="00C43700"/>
    <w:rsid w:val="00CC2248"/>
    <w:rsid w:val="00CC6B77"/>
    <w:rsid w:val="00D16298"/>
    <w:rsid w:val="00D2616A"/>
    <w:rsid w:val="00D610D7"/>
    <w:rsid w:val="00D83851"/>
    <w:rsid w:val="00DE4E2C"/>
    <w:rsid w:val="00E242DF"/>
    <w:rsid w:val="00E3507C"/>
    <w:rsid w:val="00E510FF"/>
    <w:rsid w:val="00EA243B"/>
    <w:rsid w:val="00EE382E"/>
    <w:rsid w:val="2AA64141"/>
    <w:rsid w:val="41186F8F"/>
    <w:rsid w:val="4FF96AB7"/>
    <w:rsid w:val="566E6ED9"/>
    <w:rsid w:val="697B2F06"/>
    <w:rsid w:val="6AA12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rPr>
      <w:sz w:val="2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  <w:snapToGrid w:val="0"/>
    </w:pPr>
    <w:rPr>
      <w:rFonts w:ascii="Century" w:hAnsi="Century" w:eastAsia="MS Mincho"/>
      <w:lang w:eastAsia="ja-JP"/>
    </w:rPr>
  </w:style>
  <w:style w:type="paragraph" w:styleId="7">
    <w:name w:val="Body Text Indent 3"/>
    <w:basedOn w:val="1"/>
    <w:link w:val="14"/>
    <w:qFormat/>
    <w:uiPriority w:val="0"/>
    <w:pPr>
      <w:ind w:left="2" w:firstLine="478" w:firstLineChars="199"/>
    </w:pPr>
    <w:rPr>
      <w:rFonts w:ascii="Century" w:hAnsi="Century" w:eastAsia="GB P Mincho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MTDisplayEquation"/>
    <w:basedOn w:val="7"/>
    <w:next w:val="1"/>
    <w:link w:val="15"/>
    <w:qFormat/>
    <w:uiPriority w:val="0"/>
    <w:pPr>
      <w:tabs>
        <w:tab w:val="center" w:pos="4480"/>
        <w:tab w:val="right" w:pos="8960"/>
      </w:tabs>
      <w:spacing w:line="360" w:lineRule="auto"/>
      <w:ind w:left="0" w:firstLine="560" w:firstLineChars="200"/>
    </w:pPr>
    <w:rPr>
      <w:rFonts w:ascii="仿宋_GB2312" w:hAnsi="宋体" w:eastAsia="仿宋_GB2312"/>
      <w:sz w:val="28"/>
      <w:szCs w:val="28"/>
    </w:rPr>
  </w:style>
  <w:style w:type="character" w:customStyle="1" w:styleId="14">
    <w:name w:val="正文文本缩进 3 Char"/>
    <w:link w:val="7"/>
    <w:qFormat/>
    <w:uiPriority w:val="0"/>
    <w:rPr>
      <w:rFonts w:ascii="Century" w:hAnsi="Century" w:eastAsia="GB P Mincho"/>
      <w:kern w:val="2"/>
      <w:sz w:val="24"/>
      <w:szCs w:val="24"/>
    </w:rPr>
  </w:style>
  <w:style w:type="character" w:customStyle="1" w:styleId="15">
    <w:name w:val="MTDisplayEquation Char"/>
    <w:link w:val="13"/>
    <w:qFormat/>
    <w:uiPriority w:val="0"/>
    <w:rPr>
      <w:rFonts w:ascii="仿宋_GB2312" w:hAnsi="宋体" w:eastAsia="仿宋_GB2312"/>
      <w:kern w:val="2"/>
      <w:sz w:val="28"/>
      <w:szCs w:val="28"/>
    </w:rPr>
  </w:style>
  <w:style w:type="character" w:customStyle="1" w:styleId="16">
    <w:name w:val="日期 Char"/>
    <w:link w:val="2"/>
    <w:qFormat/>
    <w:uiPriority w:val="0"/>
    <w:rPr>
      <w:kern w:val="2"/>
      <w:sz w:val="24"/>
    </w:rPr>
  </w:style>
  <w:style w:type="character" w:customStyle="1" w:styleId="17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257</Words>
  <Characters>1468</Characters>
  <Lines>12</Lines>
  <Paragraphs>3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2015-01-05T02:55:00Z</dcterms:created>
  <dc:creator>微软用户</dc:creator>
  <cp:lastModifiedBy>dell</cp:lastModifiedBy>
  <cp:lastPrinted>2014-03-12T02:24:00Z</cp:lastPrinted>
  <dcterms:modified xsi:type="dcterms:W3CDTF">2021-08-04T05:14:59Z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2052-11.1.0.10700</vt:lpwstr>
  </property>
  <property fmtid="{D5CDD505-2E9C-101B-9397-08002B2CF9AE}" pid="4" name="ICV">
    <vt:lpwstr>B48A9425DE8C4C9D98D809A76944ADEB</vt:lpwstr>
  </property>
</Properties>
</file>